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FC281F">
        <w:rPr>
          <w:sz w:val="26"/>
          <w:szCs w:val="26"/>
        </w:rPr>
        <w:t xml:space="preserve">                               </w:t>
      </w:r>
      <w:r w:rsidR="009C1F3C">
        <w:rPr>
          <w:sz w:val="26"/>
          <w:szCs w:val="26"/>
        </w:rPr>
        <w:t>17</w:t>
      </w:r>
      <w:r w:rsidR="00FC281F">
        <w:rPr>
          <w:sz w:val="26"/>
          <w:szCs w:val="26"/>
        </w:rPr>
        <w:t xml:space="preserve">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CB063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A77F40">
        <w:rPr>
          <w:sz w:val="26"/>
          <w:szCs w:val="26"/>
        </w:rPr>
        <w:t>183</w:t>
      </w:r>
      <w:r w:rsidR="00FC281F">
        <w:rPr>
          <w:sz w:val="26"/>
          <w:szCs w:val="26"/>
        </w:rPr>
        <w:t>-2802/2025</w:t>
      </w:r>
      <w:r>
        <w:rPr>
          <w:sz w:val="26"/>
          <w:szCs w:val="26"/>
        </w:rPr>
        <w:t>, возбужденное по ст.15.5 КоАП РФ в отношении должностного лица –</w:t>
      </w:r>
      <w:r w:rsidR="00A77F40">
        <w:rPr>
          <w:sz w:val="26"/>
          <w:szCs w:val="26"/>
        </w:rPr>
        <w:t xml:space="preserve">президента Региональная общественная организация ХМАО-Югры «Федерация фигурного катания на коньках» Вагина </w:t>
      </w:r>
      <w:r w:rsidR="00CB063F">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Вагин А.В.</w:t>
      </w:r>
      <w:r>
        <w:rPr>
          <w:szCs w:val="26"/>
        </w:rPr>
        <w:t xml:space="preserve">, являясь </w:t>
      </w:r>
      <w:r>
        <w:rPr>
          <w:szCs w:val="26"/>
        </w:rPr>
        <w:t>президентом Региональная общественная организация ХМАО-Югры «Федерация фигурного катания на коньках»</w:t>
      </w:r>
      <w:r>
        <w:rPr>
          <w:szCs w:val="26"/>
        </w:rPr>
        <w:t xml:space="preserve">, расположенного по адресу: </w:t>
      </w:r>
      <w:r w:rsidR="00CB063F">
        <w:rPr>
          <w:b/>
          <w:szCs w:val="26"/>
        </w:rPr>
        <w:t xml:space="preserve">*** </w:t>
      </w:r>
      <w:r>
        <w:rPr>
          <w:szCs w:val="26"/>
        </w:rPr>
        <w:t>26.</w:t>
      </w:r>
      <w:r w:rsidR="009C1F3C">
        <w:rPr>
          <w:szCs w:val="26"/>
        </w:rPr>
        <w:t>10</w:t>
      </w:r>
      <w:r>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9C1F3C">
        <w:rPr>
          <w:szCs w:val="26"/>
        </w:rPr>
        <w:t>асчета по страховым взносам за 9</w:t>
      </w:r>
      <w:r>
        <w:rPr>
          <w:szCs w:val="26"/>
        </w:rPr>
        <w:t xml:space="preserve"> месяц</w:t>
      </w:r>
      <w:r w:rsidR="009C1F3C">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A77F40">
        <w:rPr>
          <w:szCs w:val="26"/>
        </w:rPr>
        <w:t>Вагин А.В.</w:t>
      </w:r>
      <w:r>
        <w:rPr>
          <w:szCs w:val="26"/>
        </w:rPr>
        <w:t xml:space="preserve">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9C1F3C">
        <w:rPr>
          <w:sz w:val="26"/>
          <w:szCs w:val="26"/>
        </w:rPr>
        <w:t>9</w:t>
      </w:r>
      <w:r>
        <w:rPr>
          <w:sz w:val="26"/>
          <w:szCs w:val="26"/>
        </w:rPr>
        <w:t xml:space="preserve"> месяц</w:t>
      </w:r>
      <w:r w:rsidR="009C1F3C">
        <w:rPr>
          <w:sz w:val="26"/>
          <w:szCs w:val="26"/>
        </w:rPr>
        <w:t>ев</w:t>
      </w:r>
      <w:r w:rsidR="00FC281F">
        <w:rPr>
          <w:sz w:val="26"/>
          <w:szCs w:val="26"/>
        </w:rPr>
        <w:t>, квартальный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Pr>
          <w:sz w:val="26"/>
          <w:szCs w:val="26"/>
        </w:rPr>
        <w:t xml:space="preserve">Виновность </w:t>
      </w:r>
      <w:r w:rsidRPr="00A77F40" w:rsidR="00A77F40">
        <w:rPr>
          <w:sz w:val="26"/>
          <w:szCs w:val="26"/>
        </w:rPr>
        <w:t>Вагина А.В.</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A77F40" w:rsidP="00A77F40">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A77F40">
        <w:rPr>
          <w:sz w:val="26"/>
          <w:szCs w:val="26"/>
        </w:rPr>
        <w:t xml:space="preserve">президента Региональная общественная организация ХМАО-Югры «Федерация фигурного катания на коньках» Вагина </w:t>
      </w:r>
      <w:r w:rsidR="00CB063F">
        <w:rPr>
          <w:b/>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3F4A81"/>
    <w:rsid w:val="009C1F3C"/>
    <w:rsid w:val="009E5BEB"/>
    <w:rsid w:val="00A77F40"/>
    <w:rsid w:val="00CB063F"/>
    <w:rsid w:val="00FC28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